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98" w:rsidRPr="00611198" w:rsidRDefault="00611198" w:rsidP="006111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611198">
        <w:rPr>
          <w:rFonts w:ascii="Times New Roman" w:eastAsia="Times New Roman" w:hAnsi="Times New Roman" w:cs="Times New Roman"/>
          <w:b/>
          <w:bCs/>
          <w:kern w:val="36"/>
          <w:sz w:val="48"/>
          <w:szCs w:val="48"/>
          <w:lang w:eastAsia="pl-PL"/>
        </w:rPr>
        <w:t>Młoda Polska</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b/>
          <w:bCs/>
          <w:sz w:val="24"/>
          <w:szCs w:val="24"/>
          <w:lang w:eastAsia="pl-PL"/>
        </w:rPr>
        <w:t>Podstawowe informacje o epoce</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lang w:eastAsia="pl-PL"/>
        </w:rPr>
        <w:t xml:space="preserve">Przyczyną zmian w Europie i w Polsce pod koniec XIX wieku był gwałtowny wzrost demograficzny. W Europie liczba ludności, której przez poprzednie stulecia przybywało powoli, tylko w ciągu XIX wieku wzrosła ze 190 do 520 milionów. Ulepszenie maszyn drukarskich, a w związku z tym rozwój czasopiśmiennictwa, zastosowanie telefonu i telegrafu, skonstruowanie radia, sprawiły niespotykany dotąd przepływ informacji. W tym przyspieszonym procesie rozwoju cywilizacyjnego człowiek poczuł się zagubiony i bezradny, zaczęła go przerażać perspektywa utraty indywidualności i autonomii. Hasła powolnej przebudowy kraju głoszone w dobie pozytywizmu przestały być aktualne, trzeba było społeczeństwu czegoś nowego, co pozwoliłoby iść z duchem czasu, a jednocześnie nie czuć się zagubionym w pędzącym do przodu świecie. </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b/>
          <w:bCs/>
          <w:sz w:val="24"/>
          <w:szCs w:val="24"/>
          <w:lang w:eastAsia="pl-PL"/>
        </w:rPr>
        <w:t>Ramy czasowe</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lang w:eastAsia="pl-PL"/>
        </w:rPr>
        <w:t>W latach 90. XIX stulecia zaczęto budować nowe teorie dotyczące świata, człowieka i filozofii życiowej. Tak zrodził się ruch w literaturze, filozofii i sztuce, który umownie zamyka się w latach 1890-1918, a który nazywa się Młodą Polską.  </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b/>
          <w:bCs/>
          <w:sz w:val="24"/>
          <w:szCs w:val="24"/>
          <w:lang w:eastAsia="pl-PL"/>
        </w:rPr>
        <w:t>Nazwa epoki</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lang w:eastAsia="pl-PL"/>
        </w:rPr>
        <w:t xml:space="preserve">Termin najpierw pojawił się na zachodzie Europy i odpowiednio określał: Młode Niemcy, Młodą Belgię, Młodą Francję czy Młodą Skandynawię. W Polsce nazwa wzięła się od artykułów Artura Górskiego, który w krakowskim czasopiśmie „Życie” opublikował w roku 1898 cykl artykułów, opatrując je wspólną nazwą „Młoda Polska”. I w Europie, i w Polsce istniały również inne, tożsame dla tej epoki nazwy , a mianowicie: </w:t>
      </w:r>
      <w:r w:rsidRPr="00611198">
        <w:rPr>
          <w:rFonts w:ascii="Times New Roman" w:eastAsia="Times New Roman" w:hAnsi="Times New Roman" w:cs="Times New Roman"/>
          <w:sz w:val="24"/>
          <w:szCs w:val="24"/>
          <w:u w:val="single"/>
          <w:lang w:eastAsia="pl-PL"/>
        </w:rPr>
        <w:t>neoromantyzm</w:t>
      </w:r>
      <w:r w:rsidRPr="00611198">
        <w:rPr>
          <w:rFonts w:ascii="Times New Roman" w:eastAsia="Times New Roman" w:hAnsi="Times New Roman" w:cs="Times New Roman"/>
          <w:sz w:val="24"/>
          <w:szCs w:val="24"/>
          <w:lang w:eastAsia="pl-PL"/>
        </w:rPr>
        <w:t xml:space="preserve">, ze względu na to, że pisarze i artyści nawiązywali do twórczości wielkich romantyków oraz </w:t>
      </w:r>
      <w:r w:rsidRPr="00611198">
        <w:rPr>
          <w:rFonts w:ascii="Times New Roman" w:eastAsia="Times New Roman" w:hAnsi="Times New Roman" w:cs="Times New Roman"/>
          <w:sz w:val="24"/>
          <w:szCs w:val="24"/>
          <w:u w:val="single"/>
          <w:lang w:eastAsia="pl-PL"/>
        </w:rPr>
        <w:t>modernizm</w:t>
      </w:r>
      <w:r w:rsidRPr="00611198">
        <w:rPr>
          <w:rFonts w:ascii="Times New Roman" w:eastAsia="Times New Roman" w:hAnsi="Times New Roman" w:cs="Times New Roman"/>
          <w:sz w:val="24"/>
          <w:szCs w:val="24"/>
          <w:lang w:eastAsia="pl-PL"/>
        </w:rPr>
        <w:t xml:space="preserve"> (</w:t>
      </w:r>
      <w:proofErr w:type="spellStart"/>
      <w:r w:rsidRPr="00611198">
        <w:rPr>
          <w:rFonts w:ascii="Times New Roman" w:eastAsia="Times New Roman" w:hAnsi="Times New Roman" w:cs="Times New Roman"/>
          <w:i/>
          <w:iCs/>
          <w:sz w:val="24"/>
          <w:szCs w:val="24"/>
          <w:lang w:eastAsia="pl-PL"/>
        </w:rPr>
        <w:t>moderne</w:t>
      </w:r>
      <w:proofErr w:type="spellEnd"/>
      <w:r w:rsidRPr="00611198">
        <w:rPr>
          <w:rFonts w:ascii="Times New Roman" w:eastAsia="Times New Roman" w:hAnsi="Times New Roman" w:cs="Times New Roman"/>
          <w:i/>
          <w:iCs/>
          <w:sz w:val="24"/>
          <w:szCs w:val="24"/>
          <w:lang w:eastAsia="pl-PL"/>
        </w:rPr>
        <w:t xml:space="preserve"> </w:t>
      </w:r>
      <w:r w:rsidRPr="00611198">
        <w:rPr>
          <w:rFonts w:ascii="Times New Roman" w:eastAsia="Times New Roman" w:hAnsi="Times New Roman" w:cs="Times New Roman"/>
          <w:sz w:val="24"/>
          <w:szCs w:val="24"/>
          <w:lang w:eastAsia="pl-PL"/>
        </w:rPr>
        <w:t>franc. nowoczesny, świeży), który określał w literaturze, malarstwie, muzyce, filozofii, w kulturze w ogóle, zespół nowoczesnych kierunków charakterystycznych dla tego okresu. </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b/>
          <w:bCs/>
          <w:sz w:val="24"/>
          <w:szCs w:val="24"/>
          <w:lang w:eastAsia="pl-PL"/>
        </w:rPr>
        <w:t>Pojęcia związane z epoką</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lang w:eastAsia="pl-PL"/>
        </w:rPr>
        <w:t>Najbardziej powszechną nazwą określającą lata 1890-1918 była Młoda Polska, z równoprawnymi terminami: modernizm i neoromantyzm, ale z epoką tą wiążą się i inne pojęcia, które w różnych dziedzinach kultury ją zdominowały, a których nazwa kojarzona jest wyłącznie z tym okresem, bo to on dał początek tym kierunkom (późniejsze epoki niektóre te kierunki przejęły właśnie z Młodej Polski):</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i/>
          <w:iCs/>
          <w:sz w:val="24"/>
          <w:szCs w:val="24"/>
          <w:lang w:eastAsia="pl-PL"/>
        </w:rPr>
        <w:t xml:space="preserve">fin de </w:t>
      </w:r>
      <w:proofErr w:type="spellStart"/>
      <w:r w:rsidRPr="00611198">
        <w:rPr>
          <w:rFonts w:ascii="Times New Roman" w:eastAsia="Times New Roman" w:hAnsi="Times New Roman" w:cs="Times New Roman"/>
          <w:i/>
          <w:iCs/>
          <w:sz w:val="24"/>
          <w:szCs w:val="24"/>
          <w:lang w:eastAsia="pl-PL"/>
        </w:rPr>
        <w:t>siecle</w:t>
      </w:r>
      <w:proofErr w:type="spellEnd"/>
      <w:r w:rsidRPr="00611198">
        <w:rPr>
          <w:rFonts w:ascii="Times New Roman" w:eastAsia="Times New Roman" w:hAnsi="Times New Roman" w:cs="Times New Roman"/>
          <w:sz w:val="24"/>
          <w:szCs w:val="24"/>
          <w:lang w:eastAsia="pl-PL"/>
        </w:rPr>
        <w:t>, co z francuska oznacza koniec wieku; </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u w:val="single"/>
          <w:lang w:eastAsia="pl-PL"/>
        </w:rPr>
        <w:t>dekadentyzm</w:t>
      </w:r>
      <w:r w:rsidRPr="00611198">
        <w:rPr>
          <w:rFonts w:ascii="Times New Roman" w:eastAsia="Times New Roman" w:hAnsi="Times New Roman" w:cs="Times New Roman"/>
          <w:sz w:val="24"/>
          <w:szCs w:val="24"/>
          <w:lang w:eastAsia="pl-PL"/>
        </w:rPr>
        <w:t>: termin oznaczający „schyłek wieku”, ale określający też postawę człowieka końca wieku XIX; dekadentyzm kojarzony był z postawą bierności, niemocy, apatii, przeświadczeniem o nieuchronności śmierci, a w związku z tym oznaczał rezygnację z jakiejkolwiek aktywności;</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u w:val="single"/>
          <w:lang w:eastAsia="pl-PL"/>
        </w:rPr>
        <w:t>impresjonizm</w:t>
      </w:r>
      <w:r w:rsidRPr="00611198">
        <w:rPr>
          <w:rFonts w:ascii="Times New Roman" w:eastAsia="Times New Roman" w:hAnsi="Times New Roman" w:cs="Times New Roman"/>
          <w:sz w:val="24"/>
          <w:szCs w:val="24"/>
          <w:lang w:eastAsia="pl-PL"/>
        </w:rPr>
        <w:t>: kierunek, który narodził się we Francji (</w:t>
      </w:r>
      <w:proofErr w:type="spellStart"/>
      <w:r w:rsidRPr="00611198">
        <w:rPr>
          <w:rFonts w:ascii="Times New Roman" w:eastAsia="Times New Roman" w:hAnsi="Times New Roman" w:cs="Times New Roman"/>
          <w:i/>
          <w:iCs/>
          <w:sz w:val="24"/>
          <w:szCs w:val="24"/>
          <w:lang w:eastAsia="pl-PL"/>
        </w:rPr>
        <w:t>impression</w:t>
      </w:r>
      <w:proofErr w:type="spellEnd"/>
      <w:r w:rsidRPr="00611198">
        <w:rPr>
          <w:rFonts w:ascii="Times New Roman" w:eastAsia="Times New Roman" w:hAnsi="Times New Roman" w:cs="Times New Roman"/>
          <w:i/>
          <w:iCs/>
          <w:sz w:val="24"/>
          <w:szCs w:val="24"/>
          <w:lang w:eastAsia="pl-PL"/>
        </w:rPr>
        <w:t xml:space="preserve"> </w:t>
      </w:r>
      <w:r w:rsidRPr="00611198">
        <w:rPr>
          <w:rFonts w:ascii="Times New Roman" w:eastAsia="Times New Roman" w:hAnsi="Times New Roman" w:cs="Times New Roman"/>
          <w:sz w:val="24"/>
          <w:szCs w:val="24"/>
          <w:lang w:eastAsia="pl-PL"/>
        </w:rPr>
        <w:t xml:space="preserve">franc. przelotne wrażenie), a którego zwolennicy odtwarzali świat, ukazując jego nieustającą zmienność (nazwa od obrazu Moneta </w:t>
      </w:r>
      <w:r w:rsidRPr="00611198">
        <w:rPr>
          <w:rFonts w:ascii="Times New Roman" w:eastAsia="Times New Roman" w:hAnsi="Times New Roman" w:cs="Times New Roman"/>
          <w:i/>
          <w:iCs/>
          <w:sz w:val="24"/>
          <w:szCs w:val="24"/>
          <w:lang w:eastAsia="pl-PL"/>
        </w:rPr>
        <w:t>Wschód słońca. Impresja</w:t>
      </w:r>
      <w:r w:rsidRPr="00611198">
        <w:rPr>
          <w:rFonts w:ascii="Times New Roman" w:eastAsia="Times New Roman" w:hAnsi="Times New Roman" w:cs="Times New Roman"/>
          <w:sz w:val="24"/>
          <w:szCs w:val="24"/>
          <w:lang w:eastAsia="pl-PL"/>
        </w:rPr>
        <w:t>);  </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u w:val="single"/>
          <w:lang w:eastAsia="pl-PL"/>
        </w:rPr>
        <w:t>symbolizm</w:t>
      </w:r>
      <w:r w:rsidRPr="00611198">
        <w:rPr>
          <w:rFonts w:ascii="Times New Roman" w:eastAsia="Times New Roman" w:hAnsi="Times New Roman" w:cs="Times New Roman"/>
          <w:sz w:val="24"/>
          <w:szCs w:val="24"/>
          <w:lang w:eastAsia="pl-PL"/>
        </w:rPr>
        <w:t xml:space="preserve">: prekursorem tego kierunku powstałego we Francji był Charles Baudelaire, autor </w:t>
      </w:r>
      <w:r w:rsidRPr="00611198">
        <w:rPr>
          <w:rFonts w:ascii="Times New Roman" w:eastAsia="Times New Roman" w:hAnsi="Times New Roman" w:cs="Times New Roman"/>
          <w:i/>
          <w:iCs/>
          <w:sz w:val="24"/>
          <w:szCs w:val="24"/>
          <w:lang w:eastAsia="pl-PL"/>
        </w:rPr>
        <w:t>Kwiatów zła</w:t>
      </w:r>
      <w:r w:rsidRPr="00611198">
        <w:rPr>
          <w:rFonts w:ascii="Times New Roman" w:eastAsia="Times New Roman" w:hAnsi="Times New Roman" w:cs="Times New Roman"/>
          <w:sz w:val="24"/>
          <w:szCs w:val="24"/>
          <w:lang w:eastAsia="pl-PL"/>
        </w:rPr>
        <w:t xml:space="preserve">, a głównym przedstawicielem Artur Rimbaud; symbol posiada dwa znaczenia: </w:t>
      </w:r>
      <w:proofErr w:type="spellStart"/>
      <w:r w:rsidRPr="00611198">
        <w:rPr>
          <w:rFonts w:ascii="Times New Roman" w:eastAsia="Times New Roman" w:hAnsi="Times New Roman" w:cs="Times New Roman"/>
          <w:sz w:val="24"/>
          <w:szCs w:val="24"/>
          <w:lang w:eastAsia="pl-PL"/>
        </w:rPr>
        <w:t>realne-rzeczywiste</w:t>
      </w:r>
      <w:proofErr w:type="spellEnd"/>
      <w:r w:rsidRPr="00611198">
        <w:rPr>
          <w:rFonts w:ascii="Times New Roman" w:eastAsia="Times New Roman" w:hAnsi="Times New Roman" w:cs="Times New Roman"/>
          <w:sz w:val="24"/>
          <w:szCs w:val="24"/>
          <w:lang w:eastAsia="pl-PL"/>
        </w:rPr>
        <w:t xml:space="preserve"> i ukryte (skojarzeniowe);</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lang w:eastAsia="pl-PL"/>
        </w:rPr>
        <w:t> </w:t>
      </w:r>
      <w:r w:rsidRPr="00611198">
        <w:rPr>
          <w:rFonts w:ascii="Times New Roman" w:eastAsia="Times New Roman" w:hAnsi="Times New Roman" w:cs="Times New Roman"/>
          <w:sz w:val="24"/>
          <w:szCs w:val="24"/>
          <w:u w:val="single"/>
          <w:lang w:eastAsia="pl-PL"/>
        </w:rPr>
        <w:t>ekspresjonizm</w:t>
      </w:r>
      <w:r w:rsidRPr="00611198">
        <w:rPr>
          <w:rFonts w:ascii="Times New Roman" w:eastAsia="Times New Roman" w:hAnsi="Times New Roman" w:cs="Times New Roman"/>
          <w:sz w:val="24"/>
          <w:szCs w:val="24"/>
          <w:lang w:eastAsia="pl-PL"/>
        </w:rPr>
        <w:t xml:space="preserve">: (franc. </w:t>
      </w:r>
      <w:proofErr w:type="spellStart"/>
      <w:r w:rsidRPr="00611198">
        <w:rPr>
          <w:rFonts w:ascii="Times New Roman" w:eastAsia="Times New Roman" w:hAnsi="Times New Roman" w:cs="Times New Roman"/>
          <w:i/>
          <w:iCs/>
          <w:sz w:val="24"/>
          <w:szCs w:val="24"/>
          <w:lang w:eastAsia="pl-PL"/>
        </w:rPr>
        <w:t>expression</w:t>
      </w:r>
      <w:proofErr w:type="spellEnd"/>
      <w:r w:rsidRPr="00611198">
        <w:rPr>
          <w:rFonts w:ascii="Times New Roman" w:eastAsia="Times New Roman" w:hAnsi="Times New Roman" w:cs="Times New Roman"/>
          <w:sz w:val="24"/>
          <w:szCs w:val="24"/>
          <w:lang w:eastAsia="pl-PL"/>
        </w:rPr>
        <w:t xml:space="preserve"> – gwałtowne wyrażanie emocji, „krzyk duszy”), kierunek zapoczątkowany w Niemczech;</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lang w:eastAsia="pl-PL"/>
        </w:rPr>
        <w:lastRenderedPageBreak/>
        <w:t> </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u w:val="single"/>
          <w:lang w:eastAsia="pl-PL"/>
        </w:rPr>
        <w:t>secesja</w:t>
      </w:r>
      <w:r w:rsidRPr="00611198">
        <w:rPr>
          <w:rFonts w:ascii="Times New Roman" w:eastAsia="Times New Roman" w:hAnsi="Times New Roman" w:cs="Times New Roman"/>
          <w:sz w:val="24"/>
          <w:szCs w:val="24"/>
          <w:lang w:eastAsia="pl-PL"/>
        </w:rPr>
        <w:t>: nurt w sztuce powstały w Niemczech, u którego podstaw legło przekonanie, że wszystko może być dziełem sztuki; wyznacznikiem tego kierunku była falista, asymetryczna linia; </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u w:val="single"/>
          <w:lang w:eastAsia="pl-PL"/>
        </w:rPr>
        <w:t>„sztuka dla sztuki”</w:t>
      </w:r>
      <w:r w:rsidRPr="00611198">
        <w:rPr>
          <w:rFonts w:ascii="Times New Roman" w:eastAsia="Times New Roman" w:hAnsi="Times New Roman" w:cs="Times New Roman"/>
          <w:sz w:val="24"/>
          <w:szCs w:val="24"/>
          <w:lang w:eastAsia="pl-PL"/>
        </w:rPr>
        <w:t xml:space="preserve">: przekonanie pisarzy, że żadna sztuka, w tym literatura, nie może pełnić żadnych funkcji służebnych, powinna być sztuką samą w sobie, wartością samą w sobie, powinna być oryginalna i wymyślna, pełna symboli, które odczyta bez trudu inteligentny człowiek; sztuka na usługach społeczeństwa i łatwo czytelna, taka, która uczy, bawi i wychowuje stanowi </w:t>
      </w:r>
      <w:r w:rsidRPr="00611198">
        <w:rPr>
          <w:rFonts w:ascii="Times New Roman" w:eastAsia="Times New Roman" w:hAnsi="Times New Roman" w:cs="Times New Roman"/>
          <w:sz w:val="24"/>
          <w:szCs w:val="24"/>
          <w:u w:val="single"/>
          <w:lang w:eastAsia="pl-PL"/>
        </w:rPr>
        <w:t xml:space="preserve">„biblię </w:t>
      </w:r>
      <w:proofErr w:type="spellStart"/>
      <w:r w:rsidRPr="00611198">
        <w:rPr>
          <w:rFonts w:ascii="Times New Roman" w:eastAsia="Times New Roman" w:hAnsi="Times New Roman" w:cs="Times New Roman"/>
          <w:sz w:val="24"/>
          <w:szCs w:val="24"/>
          <w:u w:val="single"/>
          <w:lang w:eastAsia="pl-PL"/>
        </w:rPr>
        <w:t>pauperum</w:t>
      </w:r>
      <w:proofErr w:type="spellEnd"/>
      <w:r w:rsidRPr="00611198">
        <w:rPr>
          <w:rFonts w:ascii="Times New Roman" w:eastAsia="Times New Roman" w:hAnsi="Times New Roman" w:cs="Times New Roman"/>
          <w:sz w:val="24"/>
          <w:szCs w:val="24"/>
          <w:lang w:eastAsia="pl-PL"/>
        </w:rPr>
        <w:t>” (biblię dla ubogich).</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b/>
          <w:bCs/>
          <w:sz w:val="24"/>
          <w:szCs w:val="24"/>
          <w:lang w:eastAsia="pl-PL"/>
        </w:rPr>
        <w:t>Filozofia epoki</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b/>
          <w:bCs/>
          <w:sz w:val="24"/>
          <w:szCs w:val="24"/>
          <w:lang w:eastAsia="pl-PL"/>
        </w:rPr>
        <w:t>Artur Schopenhauer</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lang w:eastAsia="pl-PL"/>
        </w:rPr>
        <w:t xml:space="preserve">Ludzie końca wieku XIX poszukiwali takiej filozofii, która odpowiadałaby ich postawie wobec życia, ich zagubieniu, która by potwierdzała słuszność przyjęcia przez nich dekadenckiej postawy. Dlatego pewnie poglądy niemieckiego filozofa, Schopenhauera, przeżywały swoisty renesans. Myśliciel ten swoje największe dzieła, w tym </w:t>
      </w:r>
      <w:r w:rsidRPr="00611198">
        <w:rPr>
          <w:rFonts w:ascii="Times New Roman" w:eastAsia="Times New Roman" w:hAnsi="Times New Roman" w:cs="Times New Roman"/>
          <w:i/>
          <w:iCs/>
          <w:sz w:val="24"/>
          <w:szCs w:val="24"/>
          <w:lang w:eastAsia="pl-PL"/>
        </w:rPr>
        <w:t>Świat jako wola i</w:t>
      </w:r>
      <w:r w:rsidRPr="00611198">
        <w:rPr>
          <w:rFonts w:ascii="Times New Roman" w:eastAsia="Times New Roman" w:hAnsi="Times New Roman" w:cs="Times New Roman"/>
          <w:sz w:val="24"/>
          <w:szCs w:val="24"/>
          <w:lang w:eastAsia="pl-PL"/>
        </w:rPr>
        <w:t xml:space="preserve"> </w:t>
      </w:r>
      <w:r w:rsidRPr="00611198">
        <w:rPr>
          <w:rFonts w:ascii="Times New Roman" w:eastAsia="Times New Roman" w:hAnsi="Times New Roman" w:cs="Times New Roman"/>
          <w:i/>
          <w:iCs/>
          <w:sz w:val="24"/>
          <w:szCs w:val="24"/>
          <w:lang w:eastAsia="pl-PL"/>
        </w:rPr>
        <w:t>wyobrażenie</w:t>
      </w:r>
      <w:r w:rsidRPr="00611198">
        <w:rPr>
          <w:rFonts w:ascii="Times New Roman" w:eastAsia="Times New Roman" w:hAnsi="Times New Roman" w:cs="Times New Roman"/>
          <w:sz w:val="24"/>
          <w:szCs w:val="24"/>
          <w:lang w:eastAsia="pl-PL"/>
        </w:rPr>
        <w:t>, ogłosił w dobie romantyzmu, jednak jego hasła niesłychanie odpowiadały sfrustrowanemu pokoleniu końca XIX wieku. Według Schopenhauera życie człowieka to ciągła gonitwa za czymś nieokreślonym, bliżej niesprecyzowanym, czymś, co człowiek zwykł nazywać szczęściem, a czego zresztą i tak nie ma szans osiągnąć. Egzystencja ludzka przesiąknięta jest cierpieniem z powodu niezaspokojenia ambicji i pragnień, niemożności zrealizowania planów. Życie ludzkie po prostu jest za krótkie, by człowiek mógł cokolwiek osiągnąć w pełni. Goni za mrzonkami, ułudą, a mając świadomość przegranej w nierównej walce z życiem, cierpi coraz mocniej, tym bardziej, że wie, iż ta jego gonitwa za pokusami świata i tak zakończy się śmiercią. Człowiek jest tragiczny w tym swoim poszukiwaniu szczęścia, które tak naprawdę sam uważa za bezsensowne i pozbawione logiki. Schopenhauer uważał, że wszelkie religie, filozofie są tylko produktem zastępczym, ucieczką człowieka od rzeczywistości. Wzorem starożytnych stoików proponował ludziom umiarkowaną rezygnację z wszelkich żądz i wyzbycie się pragnień. Ale już bardzo nowatorska była propozycja ucieczki w stan nirwany – pół-istnienia, pół-snu, pragnienie pogrążenia się w niebycie. Pogląd ten był inspirowany filozofią i religią Wschodu (buddyzmem). Innym sposobem na uniknięcie rozczarowania życiem miała być kontemplacja piękna (natury i dzieł sztuki).</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b/>
          <w:bCs/>
          <w:sz w:val="24"/>
          <w:szCs w:val="24"/>
          <w:lang w:eastAsia="pl-PL"/>
        </w:rPr>
        <w:t>Fryderyk Nietzsche</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lang w:eastAsia="pl-PL"/>
        </w:rPr>
        <w:t xml:space="preserve">Nietzsche jest autorem dwóch głośnych traktatów filozoficznych: </w:t>
      </w:r>
      <w:r w:rsidRPr="00611198">
        <w:rPr>
          <w:rFonts w:ascii="Times New Roman" w:eastAsia="Times New Roman" w:hAnsi="Times New Roman" w:cs="Times New Roman"/>
          <w:i/>
          <w:iCs/>
          <w:sz w:val="24"/>
          <w:szCs w:val="24"/>
          <w:lang w:eastAsia="pl-PL"/>
        </w:rPr>
        <w:t xml:space="preserve">Tako </w:t>
      </w:r>
      <w:proofErr w:type="spellStart"/>
      <w:r w:rsidRPr="00611198">
        <w:rPr>
          <w:rFonts w:ascii="Times New Roman" w:eastAsia="Times New Roman" w:hAnsi="Times New Roman" w:cs="Times New Roman"/>
          <w:i/>
          <w:iCs/>
          <w:sz w:val="24"/>
          <w:szCs w:val="24"/>
          <w:lang w:eastAsia="pl-PL"/>
        </w:rPr>
        <w:t>rzecze</w:t>
      </w:r>
      <w:proofErr w:type="spellEnd"/>
      <w:r w:rsidRPr="00611198">
        <w:rPr>
          <w:rFonts w:ascii="Times New Roman" w:eastAsia="Times New Roman" w:hAnsi="Times New Roman" w:cs="Times New Roman"/>
          <w:sz w:val="24"/>
          <w:szCs w:val="24"/>
          <w:lang w:eastAsia="pl-PL"/>
        </w:rPr>
        <w:t xml:space="preserve"> </w:t>
      </w:r>
      <w:r w:rsidRPr="00611198">
        <w:rPr>
          <w:rFonts w:ascii="Times New Roman" w:eastAsia="Times New Roman" w:hAnsi="Times New Roman" w:cs="Times New Roman"/>
          <w:i/>
          <w:iCs/>
          <w:sz w:val="24"/>
          <w:szCs w:val="24"/>
          <w:lang w:eastAsia="pl-PL"/>
        </w:rPr>
        <w:t>Zaratustra</w:t>
      </w:r>
      <w:r w:rsidRPr="00611198">
        <w:rPr>
          <w:rFonts w:ascii="Times New Roman" w:eastAsia="Times New Roman" w:hAnsi="Times New Roman" w:cs="Times New Roman"/>
          <w:sz w:val="24"/>
          <w:szCs w:val="24"/>
          <w:lang w:eastAsia="pl-PL"/>
        </w:rPr>
        <w:t xml:space="preserve"> i </w:t>
      </w:r>
      <w:r w:rsidRPr="00611198">
        <w:rPr>
          <w:rFonts w:ascii="Times New Roman" w:eastAsia="Times New Roman" w:hAnsi="Times New Roman" w:cs="Times New Roman"/>
          <w:i/>
          <w:iCs/>
          <w:sz w:val="24"/>
          <w:szCs w:val="24"/>
          <w:lang w:eastAsia="pl-PL"/>
        </w:rPr>
        <w:t>Poza dobrem i złem</w:t>
      </w:r>
      <w:r w:rsidRPr="00611198">
        <w:rPr>
          <w:rFonts w:ascii="Times New Roman" w:eastAsia="Times New Roman" w:hAnsi="Times New Roman" w:cs="Times New Roman"/>
          <w:sz w:val="24"/>
          <w:szCs w:val="24"/>
          <w:lang w:eastAsia="pl-PL"/>
        </w:rPr>
        <w:t xml:space="preserve">. Ten niemiecki filozof drwił sobie z takich haseł, jak: równość, wolność, sprawiedliwość czy litość i filantropia. Jego zdaniem tylko wolność absolutna, w tym odrzucenie ograniczeń moralnych, mogło zapewnić człowiekowi szczęście. Nie uznawał słabości i dekadenckiej postawy. Dla niego liczyła się siła, moc, bezwzględność, indywidualizm, głosił kult człowieka silnego, walczącego z przeciwnościami losu. Stworzył teorię nadczłowieka i wyodrębnił „rasę panów”, dopuszczając formę zależności między ludźmi, słabi muszą zależeć od silnych, a silni, nieograniczeni żadnymi normami etycznymi, mają prawo działać „poza dobrem i złem”. Nietzsche dokonał przewartościowania systemów etycznych i losy słabych ludzi oraz świata pozostawił w rękach „nadludzi”, którzy niczym nieograniczeni – ani etyką, ani prawem, mogli czynić wszystko, by udowodnić, że człowiek jest z natury silny i może osiągnąć to, o czym zamarzy, może panować nad innymi z racji swej siły. Z filozofii Nietzschego skwapliwie skorzystali w czasie późniejszym faszyści. Znane jest też zdanie Nietzschego </w:t>
      </w:r>
      <w:r>
        <w:rPr>
          <w:rFonts w:ascii="Times New Roman" w:eastAsia="Times New Roman" w:hAnsi="Times New Roman" w:cs="Times New Roman"/>
          <w:sz w:val="24"/>
          <w:szCs w:val="24"/>
          <w:lang w:eastAsia="pl-PL"/>
        </w:rPr>
        <w:t xml:space="preserve"> </w:t>
      </w:r>
      <w:r w:rsidRPr="00611198">
        <w:rPr>
          <w:rFonts w:ascii="Times New Roman" w:eastAsia="Times New Roman" w:hAnsi="Times New Roman" w:cs="Times New Roman"/>
          <w:i/>
          <w:iCs/>
          <w:sz w:val="24"/>
          <w:szCs w:val="24"/>
          <w:lang w:eastAsia="pl-PL"/>
        </w:rPr>
        <w:t>„Bóg umarł”.</w:t>
      </w:r>
      <w:bookmarkStart w:id="0" w:name="_GoBack"/>
      <w:bookmarkEnd w:id="0"/>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b/>
          <w:bCs/>
          <w:sz w:val="24"/>
          <w:szCs w:val="24"/>
          <w:lang w:eastAsia="pl-PL"/>
        </w:rPr>
        <w:t>Henri Bergson</w:t>
      </w:r>
    </w:p>
    <w:p w:rsidR="00611198" w:rsidRPr="00611198" w:rsidRDefault="00611198" w:rsidP="00611198">
      <w:pPr>
        <w:spacing w:before="100" w:beforeAutospacing="1" w:after="100" w:afterAutospacing="1" w:line="240" w:lineRule="auto"/>
        <w:rPr>
          <w:rFonts w:ascii="Times New Roman" w:eastAsia="Times New Roman" w:hAnsi="Times New Roman" w:cs="Times New Roman"/>
          <w:sz w:val="24"/>
          <w:szCs w:val="24"/>
          <w:lang w:eastAsia="pl-PL"/>
        </w:rPr>
      </w:pPr>
      <w:r w:rsidRPr="00611198">
        <w:rPr>
          <w:rFonts w:ascii="Times New Roman" w:eastAsia="Times New Roman" w:hAnsi="Times New Roman" w:cs="Times New Roman"/>
          <w:sz w:val="24"/>
          <w:szCs w:val="24"/>
          <w:lang w:eastAsia="pl-PL"/>
        </w:rPr>
        <w:t xml:space="preserve">Bergson w dziele </w:t>
      </w:r>
      <w:r w:rsidRPr="00611198">
        <w:rPr>
          <w:rFonts w:ascii="Times New Roman" w:eastAsia="Times New Roman" w:hAnsi="Times New Roman" w:cs="Times New Roman"/>
          <w:i/>
          <w:iCs/>
          <w:sz w:val="24"/>
          <w:szCs w:val="24"/>
          <w:lang w:eastAsia="pl-PL"/>
        </w:rPr>
        <w:t>Ewolucja twórcza</w:t>
      </w:r>
      <w:r w:rsidRPr="00611198">
        <w:rPr>
          <w:rFonts w:ascii="Times New Roman" w:eastAsia="Times New Roman" w:hAnsi="Times New Roman" w:cs="Times New Roman"/>
          <w:sz w:val="24"/>
          <w:szCs w:val="24"/>
          <w:lang w:eastAsia="pl-PL"/>
        </w:rPr>
        <w:t xml:space="preserve"> ogłosił, że świat jest materialny i można go poznać tylko na zasadzie intuicji. Odrzucił tym samym empiryzm (doświadczenie) i racjonalizm (poznawanie świata za pomocą rozumu). Twierdził, że świat i przyroda są w nieustannym ruchu i dzięki temu rozwijają się, a rozwój ten jest możliwy dzięki </w:t>
      </w:r>
      <w:r w:rsidRPr="00611198">
        <w:rPr>
          <w:rFonts w:ascii="Times New Roman" w:eastAsia="Times New Roman" w:hAnsi="Times New Roman" w:cs="Times New Roman"/>
          <w:i/>
          <w:iCs/>
          <w:sz w:val="24"/>
          <w:szCs w:val="24"/>
          <w:u w:val="single"/>
          <w:lang w:eastAsia="pl-PL"/>
        </w:rPr>
        <w:t xml:space="preserve">elan </w:t>
      </w:r>
      <w:proofErr w:type="spellStart"/>
      <w:r w:rsidRPr="00611198">
        <w:rPr>
          <w:rFonts w:ascii="Times New Roman" w:eastAsia="Times New Roman" w:hAnsi="Times New Roman" w:cs="Times New Roman"/>
          <w:i/>
          <w:iCs/>
          <w:sz w:val="24"/>
          <w:szCs w:val="24"/>
          <w:u w:val="single"/>
          <w:lang w:eastAsia="pl-PL"/>
        </w:rPr>
        <w:t>vital</w:t>
      </w:r>
      <w:proofErr w:type="spellEnd"/>
      <w:r w:rsidRPr="00611198">
        <w:rPr>
          <w:rFonts w:ascii="Times New Roman" w:eastAsia="Times New Roman" w:hAnsi="Times New Roman" w:cs="Times New Roman"/>
          <w:sz w:val="24"/>
          <w:szCs w:val="24"/>
          <w:lang w:eastAsia="pl-PL"/>
        </w:rPr>
        <w:t xml:space="preserve"> (siłom wewnętrznym, pędowi życiowemu). Życie ludzkie, zdaniem filozofa, to ciąg przeżyć i uczynków i jeżeli człowiek jest zdolny pokierować swoim życiem i myślami, nadać własny kierunek działaniom, to może uważać się za jednostkę wolną. Ten, który nie ma własnego zdania, ale bazuje </w:t>
      </w:r>
      <w:r w:rsidRPr="00611198">
        <w:rPr>
          <w:rFonts w:ascii="Times New Roman" w:eastAsia="Times New Roman" w:hAnsi="Times New Roman" w:cs="Times New Roman"/>
          <w:sz w:val="24"/>
          <w:szCs w:val="24"/>
          <w:lang w:eastAsia="pl-PL"/>
        </w:rPr>
        <w:lastRenderedPageBreak/>
        <w:t>na opinii ogółu i poddaje się konwencjom, jest niewolnikiem środowiska i reguł panujących w nim. Bergsonizm był filozofią życia pełnego, przy zachowaniu własnej tożsamości i wolności oraz poznawania intuicyjnego (ten pogląd znany nam jest już z doby romantyzmu), a także życiowej aktywności, która pozwala osiągnąć niemożliwe. Również jego poglądy (tak jak i filozofię Nietzschego) gloryfikujące witalność i heroiczne czyny wykorzystywali zwolennicy społecznych przewrotów.</w:t>
      </w:r>
    </w:p>
    <w:p w:rsidR="002A4F95" w:rsidRDefault="002A4F95"/>
    <w:sectPr w:rsidR="002A4F95" w:rsidSect="006111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D5E0A"/>
    <w:multiLevelType w:val="multilevel"/>
    <w:tmpl w:val="EE0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E46C6"/>
    <w:multiLevelType w:val="multilevel"/>
    <w:tmpl w:val="BB16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4D"/>
    <w:rsid w:val="002A4F95"/>
    <w:rsid w:val="0043175B"/>
    <w:rsid w:val="00611198"/>
    <w:rsid w:val="00642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6C39F-BEB4-4A0D-8400-E14348DB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943243">
      <w:bodyDiv w:val="1"/>
      <w:marLeft w:val="0"/>
      <w:marRight w:val="0"/>
      <w:marTop w:val="0"/>
      <w:marBottom w:val="0"/>
      <w:divBdr>
        <w:top w:val="none" w:sz="0" w:space="0" w:color="auto"/>
        <w:left w:val="none" w:sz="0" w:space="0" w:color="auto"/>
        <w:bottom w:val="none" w:sz="0" w:space="0" w:color="auto"/>
        <w:right w:val="none" w:sz="0" w:space="0" w:color="auto"/>
      </w:divBdr>
      <w:divsChild>
        <w:div w:id="1191261085">
          <w:marLeft w:val="0"/>
          <w:marRight w:val="0"/>
          <w:marTop w:val="0"/>
          <w:marBottom w:val="0"/>
          <w:divBdr>
            <w:top w:val="none" w:sz="0" w:space="0" w:color="auto"/>
            <w:left w:val="none" w:sz="0" w:space="0" w:color="auto"/>
            <w:bottom w:val="none" w:sz="0" w:space="0" w:color="auto"/>
            <w:right w:val="none" w:sz="0" w:space="0" w:color="auto"/>
          </w:divBdr>
        </w:div>
        <w:div w:id="1796636207">
          <w:marLeft w:val="0"/>
          <w:marRight w:val="0"/>
          <w:marTop w:val="0"/>
          <w:marBottom w:val="0"/>
          <w:divBdr>
            <w:top w:val="none" w:sz="0" w:space="0" w:color="auto"/>
            <w:left w:val="none" w:sz="0" w:space="0" w:color="auto"/>
            <w:bottom w:val="none" w:sz="0" w:space="0" w:color="auto"/>
            <w:right w:val="none" w:sz="0" w:space="0" w:color="auto"/>
          </w:divBdr>
          <w:divsChild>
            <w:div w:id="135406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2020-05-14T09:04:00Z</dcterms:created>
  <dcterms:modified xsi:type="dcterms:W3CDTF">2020-05-14T09:04:00Z</dcterms:modified>
</cp:coreProperties>
</file>